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sz w:val="20"/>
          <w:szCs w:val="20"/>
        </w:rPr>
      </w:pPr>
      <w:r w:rsidDel="00000000" w:rsidR="00000000" w:rsidRPr="00000000">
        <w:rPr>
          <w:rtl w:val="0"/>
        </w:rPr>
      </w:r>
    </w:p>
    <w:p w:rsidR="00000000" w:rsidDel="00000000" w:rsidP="00000000" w:rsidRDefault="00000000" w:rsidRPr="00000000" w14:paraId="00000002">
      <w:pPr>
        <w:jc w:val="center"/>
        <w:rPr>
          <w:b w:val="1"/>
          <w:sz w:val="28"/>
          <w:szCs w:val="28"/>
        </w:rPr>
      </w:pPr>
      <w:r w:rsidDel="00000000" w:rsidR="00000000" w:rsidRPr="00000000">
        <w:rPr>
          <w:b w:val="1"/>
          <w:sz w:val="28"/>
          <w:szCs w:val="28"/>
          <w:rtl w:val="0"/>
        </w:rPr>
        <w:t xml:space="preserve">CONTRACT NOTICE</w:t>
      </w:r>
    </w:p>
    <w:p w:rsidR="00000000" w:rsidDel="00000000" w:rsidP="00000000" w:rsidRDefault="00000000" w:rsidRPr="00000000" w14:paraId="00000003">
      <w:pPr>
        <w:spacing w:after="280" w:before="280" w:lineRule="auto"/>
        <w:rPr>
          <w:b w:val="1"/>
          <w:sz w:val="22"/>
          <w:szCs w:val="22"/>
          <w:u w:val="single"/>
        </w:rPr>
      </w:pPr>
      <w:r w:rsidDel="00000000" w:rsidR="00000000" w:rsidRPr="00000000">
        <w:rPr>
          <w:b w:val="1"/>
          <w:sz w:val="22"/>
          <w:szCs w:val="22"/>
          <w:u w:val="single"/>
          <w:rtl w:val="0"/>
        </w:rPr>
        <w:t xml:space="preserve">CALL FOR TENDER: GENERAL INFORMATION</w:t>
        <w:br w:type="textWrapping"/>
      </w:r>
    </w:p>
    <w:p w:rsidR="00000000" w:rsidDel="00000000" w:rsidP="00000000" w:rsidRDefault="00000000" w:rsidRPr="00000000" w14:paraId="00000004">
      <w:pPr>
        <w:tabs>
          <w:tab w:val="left" w:pos="709"/>
          <w:tab w:val="left" w:pos="851"/>
          <w:tab w:val="left" w:pos="1134"/>
          <w:tab w:val="left" w:pos="1418"/>
        </w:tabs>
        <w:rPr>
          <w:b w:val="1"/>
          <w:sz w:val="22"/>
          <w:szCs w:val="22"/>
          <w:u w:val="single"/>
        </w:rPr>
      </w:pPr>
      <w:r w:rsidDel="00000000" w:rsidR="00000000" w:rsidRPr="00000000">
        <w:rPr>
          <w:b w:val="1"/>
          <w:sz w:val="22"/>
          <w:szCs w:val="22"/>
          <w:highlight w:val="white"/>
          <w:rtl w:val="0"/>
        </w:rPr>
        <w:t xml:space="preserve">EPOKA University_ Purchase of the Equipment in the framework of the implementation of the SUCCESS Erasmus+ CBHE project</w:t>
      </w:r>
      <w:r w:rsidDel="00000000" w:rsidR="00000000" w:rsidRPr="00000000">
        <w:rPr>
          <w:rtl w:val="0"/>
        </w:rPr>
      </w:r>
    </w:p>
    <w:p w:rsidR="00000000" w:rsidDel="00000000" w:rsidP="00000000" w:rsidRDefault="00000000" w:rsidRPr="00000000" w14:paraId="00000005">
      <w:pPr>
        <w:spacing w:after="0" w:before="0" w:lineRule="auto"/>
        <w:rPr>
          <w:sz w:val="22"/>
          <w:szCs w:val="22"/>
        </w:rPr>
      </w:pPr>
      <w:r w:rsidDel="00000000" w:rsidR="00000000" w:rsidRPr="00000000">
        <w:rPr>
          <w:b w:val="0"/>
          <w:sz w:val="22"/>
          <w:szCs w:val="22"/>
          <w:rtl w:val="0"/>
        </w:rPr>
        <w:t xml:space="preserve">E</w:t>
      </w:r>
      <w:r w:rsidDel="00000000" w:rsidR="00000000" w:rsidRPr="00000000">
        <w:rPr>
          <w:sz w:val="22"/>
          <w:szCs w:val="22"/>
          <w:rtl w:val="0"/>
        </w:rPr>
        <w:t xml:space="preserve">POKA </w:t>
      </w:r>
      <w:r w:rsidDel="00000000" w:rsidR="00000000" w:rsidRPr="00000000">
        <w:rPr>
          <w:b w:val="0"/>
          <w:sz w:val="22"/>
          <w:szCs w:val="22"/>
          <w:rtl w:val="0"/>
        </w:rPr>
        <w:t xml:space="preserve">University</w:t>
        <w:br w:type="textWrapping"/>
      </w:r>
      <w:r w:rsidDel="00000000" w:rsidR="00000000" w:rsidRPr="00000000">
        <w:rPr>
          <w:sz w:val="22"/>
          <w:szCs w:val="22"/>
          <w:rtl w:val="0"/>
        </w:rPr>
        <w:t xml:space="preserve">Tirane- Durres, Km.12 </w:t>
      </w:r>
    </w:p>
    <w:p w:rsidR="00000000" w:rsidDel="00000000" w:rsidP="00000000" w:rsidRDefault="00000000" w:rsidRPr="00000000" w14:paraId="00000006">
      <w:pPr>
        <w:spacing w:after="0" w:before="0" w:lineRule="auto"/>
        <w:rPr>
          <w:sz w:val="22"/>
          <w:szCs w:val="22"/>
        </w:rPr>
      </w:pPr>
      <w:r w:rsidDel="00000000" w:rsidR="00000000" w:rsidRPr="00000000">
        <w:rPr>
          <w:sz w:val="22"/>
          <w:szCs w:val="22"/>
          <w:rtl w:val="0"/>
        </w:rPr>
        <w:t xml:space="preserve">1032 Vore</w:t>
      </w:r>
    </w:p>
    <w:p w:rsidR="00000000" w:rsidDel="00000000" w:rsidP="00000000" w:rsidRDefault="00000000" w:rsidRPr="00000000" w14:paraId="00000007">
      <w:pPr>
        <w:spacing w:after="0" w:before="0" w:lineRule="auto"/>
        <w:rPr>
          <w:b w:val="1"/>
          <w:sz w:val="22"/>
          <w:szCs w:val="22"/>
          <w:highlight w:val="white"/>
        </w:rPr>
      </w:pPr>
      <w:r w:rsidDel="00000000" w:rsidR="00000000" w:rsidRPr="00000000">
        <w:rPr>
          <w:sz w:val="22"/>
          <w:szCs w:val="22"/>
          <w:rtl w:val="0"/>
        </w:rPr>
        <w:t xml:space="preserve">Phone: +355 4 2232 086</w:t>
      </w:r>
      <w:r w:rsidDel="00000000" w:rsidR="00000000" w:rsidRPr="00000000">
        <w:rPr>
          <w:b w:val="0"/>
          <w:sz w:val="22"/>
          <w:szCs w:val="22"/>
          <w:rtl w:val="0"/>
        </w:rPr>
        <w:br w:type="textWrapping"/>
        <w:t xml:space="preserve">Email: </w:t>
      </w:r>
      <w:hyperlink r:id="rId7">
        <w:r w:rsidDel="00000000" w:rsidR="00000000" w:rsidRPr="00000000">
          <w:rPr>
            <w:color w:val="0000ff"/>
            <w:sz w:val="22"/>
            <w:szCs w:val="22"/>
            <w:u w:val="single"/>
            <w:rtl w:val="0"/>
          </w:rPr>
          <w:t xml:space="preserve">administrator@epoka.edu.al</w:t>
        </w:r>
      </w:hyperlink>
      <w:r w:rsidDel="00000000" w:rsidR="00000000" w:rsidRPr="00000000">
        <w:rPr>
          <w:b w:val="0"/>
          <w:sz w:val="22"/>
          <w:szCs w:val="22"/>
          <w:rtl w:val="0"/>
        </w:rPr>
        <w:t xml:space="preserve"> </w:t>
        <w:br w:type="textWrapping"/>
        <w:t xml:space="preserve">Website: </w:t>
      </w:r>
      <w:hyperlink r:id="rId8">
        <w:r w:rsidDel="00000000" w:rsidR="00000000" w:rsidRPr="00000000">
          <w:rPr>
            <w:color w:val="0000ff"/>
            <w:sz w:val="22"/>
            <w:szCs w:val="22"/>
            <w:u w:val="single"/>
            <w:rtl w:val="0"/>
          </w:rPr>
          <w:t xml:space="preserve">www.epoka.edu.al</w:t>
        </w:r>
      </w:hyperlink>
      <w:r w:rsidDel="00000000" w:rsidR="00000000" w:rsidRPr="00000000">
        <w:rPr>
          <w:b w:val="0"/>
          <w:sz w:val="22"/>
          <w:szCs w:val="22"/>
          <w:rtl w:val="0"/>
        </w:rPr>
        <w:t xml:space="preserve"> </w:t>
      </w:r>
      <w:r w:rsidDel="00000000" w:rsidR="00000000" w:rsidRPr="00000000">
        <w:rPr>
          <w:rtl w:val="0"/>
        </w:rPr>
      </w:r>
    </w:p>
    <w:p w:rsidR="00000000" w:rsidDel="00000000" w:rsidP="00000000" w:rsidRDefault="00000000" w:rsidRPr="00000000" w14:paraId="00000008">
      <w:pPr>
        <w:tabs>
          <w:tab w:val="left" w:pos="709"/>
          <w:tab w:val="left" w:pos="851"/>
          <w:tab w:val="left" w:pos="1134"/>
          <w:tab w:val="left" w:pos="1418"/>
        </w:tabs>
        <w:rPr>
          <w:b w:val="1"/>
          <w:sz w:val="22"/>
          <w:szCs w:val="22"/>
          <w:u w:val="single"/>
        </w:rPr>
      </w:pPr>
      <w:r w:rsidDel="00000000" w:rsidR="00000000" w:rsidRPr="00000000">
        <w:rPr>
          <w:rtl w:val="0"/>
        </w:rPr>
      </w:r>
    </w:p>
    <w:p w:rsidR="00000000" w:rsidDel="00000000" w:rsidP="00000000" w:rsidRDefault="00000000" w:rsidRPr="00000000" w14:paraId="00000009">
      <w:pPr>
        <w:tabs>
          <w:tab w:val="left" w:pos="709"/>
          <w:tab w:val="left" w:pos="851"/>
          <w:tab w:val="left" w:pos="1134"/>
          <w:tab w:val="left" w:pos="1418"/>
        </w:tabs>
        <w:rPr>
          <w:b w:val="1"/>
          <w:sz w:val="22"/>
          <w:szCs w:val="22"/>
          <w:highlight w:val="white"/>
        </w:rPr>
      </w:pPr>
      <w:r w:rsidDel="00000000" w:rsidR="00000000" w:rsidRPr="00000000">
        <w:rPr>
          <w:b w:val="1"/>
          <w:sz w:val="22"/>
          <w:szCs w:val="22"/>
          <w:highlight w:val="white"/>
          <w:u w:val="single"/>
          <w:rtl w:val="0"/>
        </w:rPr>
        <w:t xml:space="preserve">II.1.3) Type of contract</w:t>
      </w: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0" w:right="360" w:firstLine="0"/>
        <w:jc w:val="both"/>
        <w:rPr>
          <w:rFonts w:ascii="Times New Roman" w:cs="Times New Roman" w:eastAsia="Times New Roman" w:hAnsi="Times New Roman"/>
          <w:b w:val="0"/>
          <w:i w:val="1"/>
          <w:smallCaps w:val="0"/>
          <w:strike w:val="0"/>
          <w:color w:val="000000"/>
          <w:sz w:val="22"/>
          <w:szCs w:val="22"/>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highlight w:val="white"/>
          <w:u w:val="none"/>
          <w:vertAlign w:val="baseline"/>
          <w:rtl w:val="0"/>
        </w:rPr>
        <w:t xml:space="preserve">Supplies </w:t>
      </w:r>
      <w:r w:rsidDel="00000000" w:rsidR="00000000" w:rsidRPr="00000000">
        <w:rPr>
          <w:rtl w:val="0"/>
        </w:rPr>
      </w:r>
    </w:p>
    <w:p w:rsidR="00000000" w:rsidDel="00000000" w:rsidP="00000000" w:rsidRDefault="00000000" w:rsidRPr="00000000" w14:paraId="0000000B">
      <w:pPr>
        <w:spacing w:after="120" w:before="240" w:lineRule="auto"/>
        <w:rPr>
          <w:b w:val="1"/>
          <w:sz w:val="22"/>
          <w:szCs w:val="22"/>
          <w:u w:val="single"/>
        </w:rPr>
      </w:pPr>
      <w:r w:rsidDel="00000000" w:rsidR="00000000" w:rsidRPr="00000000">
        <w:rPr>
          <w:b w:val="1"/>
          <w:sz w:val="22"/>
          <w:szCs w:val="22"/>
          <w:u w:val="single"/>
          <w:rtl w:val="0"/>
        </w:rPr>
        <w:t xml:space="preserve">II.1.4) Short description of the contract</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0" w:right="360" w:firstLine="0"/>
        <w:jc w:val="both"/>
        <w:rPr>
          <w:sz w:val="22"/>
          <w:szCs w:val="22"/>
          <w:highlight w:val="white"/>
        </w:rPr>
      </w:pPr>
      <w:r w:rsidDel="00000000" w:rsidR="00000000" w:rsidRPr="00000000">
        <w:rPr>
          <w:sz w:val="22"/>
          <w:szCs w:val="22"/>
          <w:highlight w:val="white"/>
          <w:rtl w:val="0"/>
        </w:rPr>
        <w:t xml:space="preserve">The supply contract will consist of the Purchase of Equipment in the framework of the implementation of the SUCCESS Erasmus+ CBHE project. The requirements are as follows: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0" w:right="360" w:firstLine="0"/>
        <w:jc w:val="both"/>
        <w:rPr>
          <w:sz w:val="22"/>
          <w:szCs w:val="22"/>
          <w:highlight w:val="white"/>
        </w:rPr>
      </w:pPr>
      <w:r w:rsidDel="00000000" w:rsidR="00000000" w:rsidRPr="00000000">
        <w:rPr>
          <w:rtl w:val="0"/>
        </w:rPr>
      </w:r>
    </w:p>
    <w:tbl>
      <w:tblPr>
        <w:tblStyle w:val="Table1"/>
        <w:tblW w:w="9353.51181102362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61.4862204724411"/>
        <w:gridCol w:w="6486.215035620548"/>
        <w:gridCol w:w="1405.8105549306338"/>
        <w:tblGridChange w:id="0">
          <w:tblGrid>
            <w:gridCol w:w="1461.4862204724411"/>
            <w:gridCol w:w="6486.215035620548"/>
            <w:gridCol w:w="1405.8105549306338"/>
          </w:tblGrid>
        </w:tblGridChange>
      </w:tblGrid>
      <w:tr>
        <w:trPr>
          <w:cantSplit w:val="0"/>
          <w:trHeight w:val="710" w:hRule="atLeast"/>
          <w:tblHeader w:val="0"/>
        </w:trPr>
        <w:tc>
          <w:tcPr>
            <w:tcBorders>
              <w:top w:color="000000" w:space="0" w:sz="8" w:val="single"/>
              <w:left w:color="000000" w:space="0" w:sz="8" w:val="single"/>
              <w:bottom w:color="000000" w:space="0" w:sz="8" w:val="single"/>
              <w:right w:color="000000" w:space="0" w:sz="8" w:val="single"/>
            </w:tcBorders>
            <w:shd w:fill="0070c0" w:val="clear"/>
            <w:tcMar>
              <w:top w:w="100.0" w:type="dxa"/>
              <w:left w:w="100.0" w:type="dxa"/>
              <w:bottom w:w="100.0" w:type="dxa"/>
              <w:right w:w="100.0" w:type="dxa"/>
            </w:tcMar>
            <w:vAlign w:val="top"/>
          </w:tcPr>
          <w:p w:rsidR="00000000" w:rsidDel="00000000" w:rsidP="00000000" w:rsidRDefault="00000000" w:rsidRPr="00000000" w14:paraId="0000000E">
            <w:pPr>
              <w:widowControl w:val="1"/>
              <w:spacing w:after="0" w:before="0" w:lineRule="auto"/>
              <w:jc w:val="center"/>
              <w:rPr>
                <w:b w:val="1"/>
                <w:color w:val="ffffff"/>
                <w:sz w:val="22"/>
                <w:szCs w:val="22"/>
              </w:rPr>
            </w:pPr>
            <w:r w:rsidDel="00000000" w:rsidR="00000000" w:rsidRPr="00000000">
              <w:rPr>
                <w:b w:val="1"/>
                <w:color w:val="ffffff"/>
                <w:sz w:val="22"/>
                <w:szCs w:val="22"/>
                <w:rtl w:val="0"/>
              </w:rPr>
              <w:t xml:space="preserve">Item</w:t>
            </w:r>
          </w:p>
        </w:tc>
        <w:tc>
          <w:tcPr>
            <w:tcBorders>
              <w:top w:color="000000" w:space="0" w:sz="8" w:val="single"/>
              <w:left w:color="000000" w:space="0" w:sz="0" w:val="nil"/>
              <w:bottom w:color="000000" w:space="0" w:sz="8" w:val="single"/>
              <w:right w:color="000000" w:space="0" w:sz="8" w:val="single"/>
            </w:tcBorders>
            <w:shd w:fill="0070c0" w:val="clear"/>
            <w:tcMar>
              <w:top w:w="100.0" w:type="dxa"/>
              <w:left w:w="100.0" w:type="dxa"/>
              <w:bottom w:w="100.0" w:type="dxa"/>
              <w:right w:w="100.0" w:type="dxa"/>
            </w:tcMar>
            <w:vAlign w:val="top"/>
          </w:tcPr>
          <w:p w:rsidR="00000000" w:rsidDel="00000000" w:rsidP="00000000" w:rsidRDefault="00000000" w:rsidRPr="00000000" w14:paraId="0000000F">
            <w:pPr>
              <w:widowControl w:val="1"/>
              <w:spacing w:after="0" w:before="0" w:lineRule="auto"/>
              <w:jc w:val="center"/>
              <w:rPr>
                <w:b w:val="1"/>
                <w:color w:val="ffffff"/>
                <w:sz w:val="22"/>
                <w:szCs w:val="22"/>
              </w:rPr>
            </w:pPr>
            <w:r w:rsidDel="00000000" w:rsidR="00000000" w:rsidRPr="00000000">
              <w:rPr>
                <w:b w:val="1"/>
                <w:color w:val="ffffff"/>
                <w:sz w:val="22"/>
                <w:szCs w:val="22"/>
                <w:rtl w:val="0"/>
              </w:rPr>
              <w:t xml:space="preserve">Description</w:t>
            </w:r>
          </w:p>
        </w:tc>
        <w:tc>
          <w:tcPr>
            <w:tcBorders>
              <w:top w:color="000000" w:space="0" w:sz="8" w:val="single"/>
              <w:left w:color="000000" w:space="0" w:sz="0" w:val="nil"/>
              <w:bottom w:color="000000" w:space="0" w:sz="8" w:val="single"/>
              <w:right w:color="000000" w:space="0" w:sz="8" w:val="single"/>
            </w:tcBorders>
            <w:shd w:fill="0070c0" w:val="clear"/>
            <w:tcMar>
              <w:top w:w="100.0" w:type="dxa"/>
              <w:left w:w="100.0" w:type="dxa"/>
              <w:bottom w:w="100.0" w:type="dxa"/>
              <w:right w:w="100.0" w:type="dxa"/>
            </w:tcMar>
            <w:vAlign w:val="top"/>
          </w:tcPr>
          <w:p w:rsidR="00000000" w:rsidDel="00000000" w:rsidP="00000000" w:rsidRDefault="00000000" w:rsidRPr="00000000" w14:paraId="00000010">
            <w:pPr>
              <w:widowControl w:val="1"/>
              <w:spacing w:after="0" w:before="0" w:lineRule="auto"/>
              <w:jc w:val="center"/>
              <w:rPr>
                <w:b w:val="1"/>
                <w:color w:val="ffffff"/>
                <w:sz w:val="22"/>
                <w:szCs w:val="22"/>
              </w:rPr>
            </w:pPr>
            <w:r w:rsidDel="00000000" w:rsidR="00000000" w:rsidRPr="00000000">
              <w:rPr>
                <w:b w:val="1"/>
                <w:color w:val="ffffff"/>
                <w:sz w:val="22"/>
                <w:szCs w:val="22"/>
                <w:rtl w:val="0"/>
              </w:rPr>
              <w:t xml:space="preserve">Quantity</w:t>
            </w:r>
          </w:p>
        </w:tc>
      </w:tr>
      <w:tr>
        <w:trPr>
          <w:cantSplit w:val="0"/>
          <w:trHeight w:val="9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1">
            <w:pPr>
              <w:widowControl w:val="1"/>
              <w:spacing w:after="0" w:before="0" w:lineRule="auto"/>
              <w:jc w:val="center"/>
              <w:rPr>
                <w:sz w:val="22"/>
                <w:szCs w:val="22"/>
              </w:rPr>
            </w:pPr>
            <w:r w:rsidDel="00000000" w:rsidR="00000000" w:rsidRPr="00000000">
              <w:rPr>
                <w:sz w:val="22"/>
                <w:szCs w:val="22"/>
                <w:rtl w:val="0"/>
              </w:rPr>
              <w:t xml:space="preserve">PC</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2">
            <w:pPr>
              <w:widowControl w:val="1"/>
              <w:spacing w:after="0" w:before="0" w:lineRule="auto"/>
              <w:jc w:val="both"/>
              <w:rPr>
                <w:sz w:val="22"/>
                <w:szCs w:val="22"/>
              </w:rPr>
            </w:pPr>
            <w:r w:rsidDel="00000000" w:rsidR="00000000" w:rsidRPr="00000000">
              <w:rPr>
                <w:sz w:val="22"/>
                <w:szCs w:val="22"/>
                <w:rtl w:val="0"/>
              </w:rPr>
              <w:t xml:space="preserve">290 G4 MT Intel Core i5-10500U Ram 16GB HDD SSD 256GB PCIe Intel HD Graphics 630 DVD-W windows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3">
            <w:pPr>
              <w:widowControl w:val="1"/>
              <w:spacing w:after="0" w:before="0" w:lineRule="auto"/>
              <w:jc w:val="center"/>
              <w:rPr>
                <w:sz w:val="22"/>
                <w:szCs w:val="22"/>
              </w:rPr>
            </w:pPr>
            <w:r w:rsidDel="00000000" w:rsidR="00000000" w:rsidRPr="00000000">
              <w:rPr>
                <w:sz w:val="22"/>
                <w:szCs w:val="22"/>
                <w:rtl w:val="0"/>
              </w:rPr>
              <w:t xml:space="preserve">25</w:t>
            </w:r>
          </w:p>
        </w:tc>
      </w:tr>
      <w:tr>
        <w:trPr>
          <w:cantSplit w:val="0"/>
          <w:trHeight w:val="6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4">
            <w:pPr>
              <w:widowControl w:val="1"/>
              <w:spacing w:after="0" w:before="0" w:lineRule="auto"/>
              <w:jc w:val="center"/>
              <w:rPr>
                <w:sz w:val="22"/>
                <w:szCs w:val="22"/>
              </w:rPr>
            </w:pPr>
            <w:r w:rsidDel="00000000" w:rsidR="00000000" w:rsidRPr="00000000">
              <w:rPr>
                <w:sz w:val="22"/>
                <w:szCs w:val="22"/>
                <w:rtl w:val="0"/>
              </w:rPr>
              <w:t xml:space="preserve">Monitor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5">
            <w:pPr>
              <w:widowControl w:val="1"/>
              <w:spacing w:after="0" w:before="0" w:lineRule="auto"/>
              <w:jc w:val="both"/>
              <w:rPr>
                <w:sz w:val="22"/>
                <w:szCs w:val="22"/>
              </w:rPr>
            </w:pPr>
            <w:r w:rsidDel="00000000" w:rsidR="00000000" w:rsidRPr="00000000">
              <w:rPr>
                <w:sz w:val="22"/>
                <w:szCs w:val="22"/>
                <w:rtl w:val="0"/>
              </w:rPr>
              <w:t xml:space="preserve"> V24 Full HD 24" HDMI/VGA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6">
            <w:pPr>
              <w:widowControl w:val="1"/>
              <w:spacing w:after="0" w:before="0" w:lineRule="auto"/>
              <w:jc w:val="center"/>
              <w:rPr>
                <w:sz w:val="22"/>
                <w:szCs w:val="22"/>
              </w:rPr>
            </w:pPr>
            <w:r w:rsidDel="00000000" w:rsidR="00000000" w:rsidRPr="00000000">
              <w:rPr>
                <w:sz w:val="22"/>
                <w:szCs w:val="22"/>
                <w:rtl w:val="0"/>
              </w:rPr>
              <w:t xml:space="preserve">25</w:t>
            </w:r>
          </w:p>
        </w:tc>
      </w:tr>
      <w:tr>
        <w:trPr>
          <w:cantSplit w:val="0"/>
          <w:trHeight w:val="77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7">
            <w:pPr>
              <w:widowControl w:val="1"/>
              <w:spacing w:after="0" w:before="0" w:lineRule="auto"/>
              <w:jc w:val="center"/>
              <w:rPr>
                <w:sz w:val="22"/>
                <w:szCs w:val="22"/>
              </w:rPr>
            </w:pPr>
            <w:r w:rsidDel="00000000" w:rsidR="00000000" w:rsidRPr="00000000">
              <w:rPr>
                <w:sz w:val="22"/>
                <w:szCs w:val="22"/>
                <w:rtl w:val="0"/>
              </w:rPr>
              <w:t xml:space="preserve">Camera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8">
            <w:pPr>
              <w:widowControl w:val="1"/>
              <w:spacing w:after="0" w:before="0" w:lineRule="auto"/>
              <w:jc w:val="both"/>
              <w:rPr>
                <w:color w:val="222222"/>
                <w:sz w:val="22"/>
                <w:szCs w:val="22"/>
                <w:highlight w:val="white"/>
              </w:rPr>
            </w:pPr>
            <w:r w:rsidDel="00000000" w:rsidR="00000000" w:rsidRPr="00000000">
              <w:rPr>
                <w:color w:val="222222"/>
                <w:sz w:val="22"/>
                <w:szCs w:val="22"/>
                <w:highlight w:val="white"/>
                <w:rtl w:val="0"/>
              </w:rPr>
              <w:t xml:space="preserve">EOS R Mirrorless Camera</w:t>
            </w:r>
          </w:p>
          <w:p w:rsidR="00000000" w:rsidDel="00000000" w:rsidP="00000000" w:rsidRDefault="00000000" w:rsidRPr="00000000" w14:paraId="00000019">
            <w:pPr>
              <w:widowControl w:val="1"/>
              <w:spacing w:after="0" w:before="0" w:lineRule="auto"/>
              <w:jc w:val="both"/>
              <w:rPr>
                <w:color w:val="222222"/>
                <w:sz w:val="22"/>
                <w:szCs w:val="22"/>
                <w:highlight w:val="white"/>
              </w:rPr>
            </w:pPr>
            <w:r w:rsidDel="00000000" w:rsidR="00000000" w:rsidRPr="00000000">
              <w:rPr>
                <w:color w:val="222222"/>
                <w:sz w:val="22"/>
                <w:szCs w:val="22"/>
                <w:highlight w:val="white"/>
                <w:rtl w:val="0"/>
              </w:rPr>
              <w:t xml:space="preserve">ProGrade Digital 64GB UHS-II SDXC Memory Card, LP-E6</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A">
            <w:pPr>
              <w:widowControl w:val="1"/>
              <w:spacing w:after="0" w:before="0" w:lineRule="auto"/>
              <w:jc w:val="center"/>
              <w:rPr>
                <w:sz w:val="22"/>
                <w:szCs w:val="22"/>
              </w:rPr>
            </w:pPr>
            <w:r w:rsidDel="00000000" w:rsidR="00000000" w:rsidRPr="00000000">
              <w:rPr>
                <w:sz w:val="22"/>
                <w:szCs w:val="22"/>
                <w:rtl w:val="0"/>
              </w:rPr>
              <w:t xml:space="preserve">1</w:t>
            </w:r>
          </w:p>
        </w:tc>
      </w:tr>
      <w:tr>
        <w:trPr>
          <w:cantSplit w:val="0"/>
          <w:trHeight w:val="9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B">
            <w:pPr>
              <w:widowControl w:val="1"/>
              <w:spacing w:after="0" w:before="0" w:lineRule="auto"/>
              <w:jc w:val="center"/>
              <w:rPr>
                <w:sz w:val="22"/>
                <w:szCs w:val="22"/>
              </w:rPr>
            </w:pPr>
            <w:r w:rsidDel="00000000" w:rsidR="00000000" w:rsidRPr="00000000">
              <w:rPr>
                <w:sz w:val="22"/>
                <w:szCs w:val="22"/>
                <w:rtl w:val="0"/>
              </w:rPr>
              <w:t xml:space="preserve"> Lens for camera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C">
            <w:pPr>
              <w:widowControl w:val="1"/>
              <w:spacing w:after="0" w:before="0" w:lineRule="auto"/>
              <w:jc w:val="both"/>
              <w:rPr>
                <w:color w:val="222222"/>
                <w:sz w:val="22"/>
                <w:szCs w:val="22"/>
                <w:highlight w:val="white"/>
              </w:rPr>
            </w:pPr>
            <w:r w:rsidDel="00000000" w:rsidR="00000000" w:rsidRPr="00000000">
              <w:rPr>
                <w:color w:val="222222"/>
                <w:sz w:val="22"/>
                <w:szCs w:val="22"/>
                <w:highlight w:val="white"/>
                <w:rtl w:val="0"/>
              </w:rPr>
              <w:t xml:space="preserve">Tamron SP 24-70mm f/2.8 Di VC USD G2 Lens for Canon EF</w:t>
            </w:r>
          </w:p>
          <w:p w:rsidR="00000000" w:rsidDel="00000000" w:rsidP="00000000" w:rsidRDefault="00000000" w:rsidRPr="00000000" w14:paraId="0000001D">
            <w:pPr>
              <w:widowControl w:val="1"/>
              <w:spacing w:after="0" w:before="0" w:lineRule="auto"/>
              <w:jc w:val="both"/>
              <w:rPr>
                <w:color w:val="222222"/>
                <w:sz w:val="22"/>
                <w:szCs w:val="22"/>
                <w:highlight w:val="white"/>
              </w:rPr>
            </w:pPr>
            <w:r w:rsidDel="00000000" w:rsidR="00000000" w:rsidRPr="00000000">
              <w:rPr>
                <w:color w:val="222222"/>
                <w:sz w:val="22"/>
                <w:szCs w:val="22"/>
                <w:highlight w:val="white"/>
                <w:rtl w:val="0"/>
              </w:rPr>
              <w:t xml:space="preserve">Canon EF-EOS R Control Ring Mount Adapter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E">
            <w:pPr>
              <w:widowControl w:val="1"/>
              <w:spacing w:after="0" w:before="0" w:lineRule="auto"/>
              <w:jc w:val="center"/>
              <w:rPr>
                <w:sz w:val="22"/>
                <w:szCs w:val="22"/>
              </w:rPr>
            </w:pPr>
            <w:r w:rsidDel="00000000" w:rsidR="00000000" w:rsidRPr="00000000">
              <w:rPr>
                <w:sz w:val="22"/>
                <w:szCs w:val="22"/>
                <w:rtl w:val="0"/>
              </w:rPr>
              <w:t xml:space="preserve">1</w:t>
            </w:r>
          </w:p>
        </w:tc>
      </w:tr>
      <w:tr>
        <w:trPr>
          <w:cantSplit w:val="0"/>
          <w:trHeight w:val="6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F">
            <w:pPr>
              <w:widowControl w:val="1"/>
              <w:spacing w:after="0" w:before="0" w:lineRule="auto"/>
              <w:jc w:val="center"/>
              <w:rPr>
                <w:sz w:val="22"/>
                <w:szCs w:val="22"/>
              </w:rPr>
            </w:pPr>
            <w:r w:rsidDel="00000000" w:rsidR="00000000" w:rsidRPr="00000000">
              <w:rPr>
                <w:sz w:val="22"/>
                <w:szCs w:val="22"/>
                <w:rtl w:val="0"/>
              </w:rPr>
              <w:t xml:space="preserve">HDD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0">
            <w:pPr>
              <w:widowControl w:val="1"/>
              <w:spacing w:after="0" w:before="0" w:lineRule="auto"/>
              <w:jc w:val="both"/>
              <w:rPr>
                <w:sz w:val="22"/>
                <w:szCs w:val="22"/>
              </w:rPr>
            </w:pPr>
            <w:r w:rsidDel="00000000" w:rsidR="00000000" w:rsidRPr="00000000">
              <w:rPr>
                <w:sz w:val="22"/>
                <w:szCs w:val="22"/>
                <w:rtl w:val="0"/>
              </w:rPr>
              <w:t xml:space="preserve">HDD 256 SSD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1">
            <w:pPr>
              <w:widowControl w:val="1"/>
              <w:spacing w:after="0" w:before="0" w:lineRule="auto"/>
              <w:jc w:val="center"/>
              <w:rPr>
                <w:sz w:val="22"/>
                <w:szCs w:val="22"/>
              </w:rPr>
            </w:pPr>
            <w:r w:rsidDel="00000000" w:rsidR="00000000" w:rsidRPr="00000000">
              <w:rPr>
                <w:sz w:val="22"/>
                <w:szCs w:val="22"/>
                <w:rtl w:val="0"/>
              </w:rPr>
              <w:t xml:space="preserve">25</w:t>
            </w:r>
          </w:p>
        </w:tc>
      </w:tr>
      <w:tr>
        <w:trPr>
          <w:cantSplit w:val="0"/>
          <w:trHeight w:val="9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2">
            <w:pPr>
              <w:widowControl w:val="1"/>
              <w:spacing w:after="0" w:before="0" w:lineRule="auto"/>
              <w:jc w:val="center"/>
              <w:rPr>
                <w:sz w:val="22"/>
                <w:szCs w:val="22"/>
              </w:rPr>
            </w:pPr>
            <w:r w:rsidDel="00000000" w:rsidR="00000000" w:rsidRPr="00000000">
              <w:rPr>
                <w:sz w:val="22"/>
                <w:szCs w:val="22"/>
                <w:rtl w:val="0"/>
              </w:rPr>
              <w:t xml:space="preserve">Laptop</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3">
            <w:pPr>
              <w:widowControl w:val="1"/>
              <w:spacing w:after="0" w:before="0" w:lineRule="auto"/>
              <w:jc w:val="both"/>
              <w:rPr>
                <w:sz w:val="22"/>
                <w:szCs w:val="22"/>
              </w:rPr>
            </w:pPr>
            <w:r w:rsidDel="00000000" w:rsidR="00000000" w:rsidRPr="00000000">
              <w:rPr>
                <w:sz w:val="22"/>
                <w:szCs w:val="22"/>
                <w:rtl w:val="0"/>
              </w:rPr>
              <w:t xml:space="preserve">S145-15IIL Intel Core i3-1005G1 1.2 GHz Ram 8GB SSD 256GB M.2 NVMe Integrated Graphic Ekrani 15.6" FHD No DVD windows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4">
            <w:pPr>
              <w:widowControl w:val="1"/>
              <w:spacing w:after="0" w:before="0" w:lineRule="auto"/>
              <w:jc w:val="center"/>
              <w:rPr>
                <w:sz w:val="22"/>
                <w:szCs w:val="22"/>
              </w:rPr>
            </w:pPr>
            <w:r w:rsidDel="00000000" w:rsidR="00000000" w:rsidRPr="00000000">
              <w:rPr>
                <w:sz w:val="22"/>
                <w:szCs w:val="22"/>
                <w:rtl w:val="0"/>
              </w:rPr>
              <w:t xml:space="preserve">4</w:t>
            </w:r>
          </w:p>
        </w:tc>
      </w:tr>
      <w:tr>
        <w:trPr>
          <w:cantSplit w:val="0"/>
          <w:trHeight w:val="6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5">
            <w:pPr>
              <w:widowControl w:val="1"/>
              <w:spacing w:after="0" w:before="0" w:lineRule="auto"/>
              <w:jc w:val="center"/>
              <w:rPr>
                <w:sz w:val="22"/>
                <w:szCs w:val="22"/>
              </w:rPr>
            </w:pPr>
            <w:r w:rsidDel="00000000" w:rsidR="00000000" w:rsidRPr="00000000">
              <w:rPr>
                <w:sz w:val="22"/>
                <w:szCs w:val="22"/>
                <w:rtl w:val="0"/>
              </w:rPr>
              <w:t xml:space="preserve">Interactive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6">
            <w:pPr>
              <w:widowControl w:val="1"/>
              <w:spacing w:after="0" w:before="0" w:lineRule="auto"/>
              <w:jc w:val="both"/>
              <w:rPr>
                <w:sz w:val="22"/>
                <w:szCs w:val="22"/>
              </w:rPr>
            </w:pPr>
            <w:r w:rsidDel="00000000" w:rsidR="00000000" w:rsidRPr="00000000">
              <w:rPr>
                <w:sz w:val="22"/>
                <w:szCs w:val="22"/>
                <w:rtl w:val="0"/>
              </w:rPr>
              <w:t xml:space="preserve">SMART Board ® X880 + Projector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7">
            <w:pPr>
              <w:widowControl w:val="1"/>
              <w:spacing w:after="0" w:before="0" w:lineRule="auto"/>
              <w:jc w:val="center"/>
              <w:rPr>
                <w:sz w:val="22"/>
                <w:szCs w:val="22"/>
              </w:rPr>
            </w:pPr>
            <w:r w:rsidDel="00000000" w:rsidR="00000000" w:rsidRPr="00000000">
              <w:rPr>
                <w:sz w:val="22"/>
                <w:szCs w:val="22"/>
                <w:rtl w:val="0"/>
              </w:rPr>
              <w:t xml:space="preserve">2</w:t>
            </w:r>
          </w:p>
        </w:tc>
      </w:tr>
      <w:tr>
        <w:trPr>
          <w:cantSplit w:val="0"/>
          <w:trHeight w:val="71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8">
            <w:pPr>
              <w:widowControl w:val="1"/>
              <w:spacing w:after="0" w:before="0" w:lineRule="auto"/>
              <w:jc w:val="center"/>
              <w:rPr>
                <w:sz w:val="22"/>
                <w:szCs w:val="22"/>
              </w:rPr>
            </w:pPr>
            <w:r w:rsidDel="00000000" w:rsidR="00000000" w:rsidRPr="00000000">
              <w:rPr>
                <w:sz w:val="22"/>
                <w:szCs w:val="22"/>
                <w:rtl w:val="0"/>
              </w:rPr>
              <w:t xml:space="preserve">WI-FI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9">
            <w:pPr>
              <w:widowControl w:val="1"/>
              <w:spacing w:after="0" w:before="0" w:lineRule="auto"/>
              <w:jc w:val="both"/>
              <w:rPr>
                <w:sz w:val="22"/>
                <w:szCs w:val="22"/>
              </w:rPr>
            </w:pPr>
            <w:r w:rsidDel="00000000" w:rsidR="00000000" w:rsidRPr="00000000">
              <w:rPr>
                <w:sz w:val="22"/>
                <w:szCs w:val="22"/>
                <w:rtl w:val="0"/>
              </w:rPr>
              <w:t xml:space="preserve">Access point AC Wave 2 AP 4x4 MU-MIMO UAP-AC-H</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A">
            <w:pPr>
              <w:widowControl w:val="1"/>
              <w:spacing w:after="0" w:before="0" w:lineRule="auto"/>
              <w:jc w:val="center"/>
              <w:rPr>
                <w:sz w:val="22"/>
                <w:szCs w:val="22"/>
              </w:rPr>
            </w:pPr>
            <w:r w:rsidDel="00000000" w:rsidR="00000000" w:rsidRPr="00000000">
              <w:rPr>
                <w:sz w:val="22"/>
                <w:szCs w:val="22"/>
                <w:rtl w:val="0"/>
              </w:rPr>
              <w:t xml:space="preserve">5</w:t>
            </w:r>
          </w:p>
        </w:tc>
      </w:tr>
      <w:tr>
        <w:trPr>
          <w:cantSplit w:val="0"/>
          <w:trHeight w:val="62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B">
            <w:pPr>
              <w:widowControl w:val="1"/>
              <w:spacing w:after="0" w:before="0" w:lineRule="auto"/>
              <w:jc w:val="center"/>
              <w:rPr>
                <w:sz w:val="22"/>
                <w:szCs w:val="22"/>
              </w:rPr>
            </w:pPr>
            <w:r w:rsidDel="00000000" w:rsidR="00000000" w:rsidRPr="00000000">
              <w:rPr>
                <w:sz w:val="22"/>
                <w:szCs w:val="22"/>
                <w:rtl w:val="0"/>
              </w:rPr>
              <w:t xml:space="preserve">NAS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C">
            <w:pPr>
              <w:widowControl w:val="1"/>
              <w:spacing w:after="0" w:before="0" w:lineRule="auto"/>
              <w:jc w:val="both"/>
              <w:rPr>
                <w:sz w:val="22"/>
                <w:szCs w:val="22"/>
              </w:rPr>
            </w:pPr>
            <w:r w:rsidDel="00000000" w:rsidR="00000000" w:rsidRPr="00000000">
              <w:rPr>
                <w:sz w:val="22"/>
                <w:szCs w:val="22"/>
                <w:rtl w:val="0"/>
              </w:rPr>
              <w:t xml:space="preserve">NAS (Networking-attached storage) me 16TB</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D">
            <w:pPr>
              <w:widowControl w:val="1"/>
              <w:spacing w:after="0" w:before="0" w:lineRule="auto"/>
              <w:jc w:val="center"/>
              <w:rPr>
                <w:sz w:val="22"/>
                <w:szCs w:val="22"/>
              </w:rPr>
            </w:pPr>
            <w:r w:rsidDel="00000000" w:rsidR="00000000" w:rsidRPr="00000000">
              <w:rPr>
                <w:sz w:val="22"/>
                <w:szCs w:val="22"/>
                <w:rtl w:val="0"/>
              </w:rPr>
              <w:t xml:space="preserve">1</w:t>
            </w:r>
          </w:p>
        </w:tc>
      </w:tr>
    </w:tbl>
    <w:p w:rsidR="00000000" w:rsidDel="00000000" w:rsidP="00000000" w:rsidRDefault="00000000" w:rsidRPr="00000000" w14:paraId="0000002E">
      <w:pPr>
        <w:widowControl w:val="1"/>
        <w:spacing w:after="0" w:before="0" w:lineRule="auto"/>
        <w:ind w:left="567" w:firstLine="0"/>
        <w:jc w:val="both"/>
        <w:rPr>
          <w:sz w:val="22"/>
          <w:szCs w:val="22"/>
          <w:highlight w:val="white"/>
        </w:rPr>
      </w:pPr>
      <w:r w:rsidDel="00000000" w:rsidR="00000000" w:rsidRPr="00000000">
        <w:rPr>
          <w:rtl w:val="0"/>
        </w:rPr>
      </w:r>
    </w:p>
    <w:p w:rsidR="00000000" w:rsidDel="00000000" w:rsidP="00000000" w:rsidRDefault="00000000" w:rsidRPr="00000000" w14:paraId="0000002F">
      <w:pPr>
        <w:rPr>
          <w:b w:val="1"/>
          <w:sz w:val="22"/>
          <w:szCs w:val="22"/>
          <w:u w:val="single"/>
        </w:rPr>
      </w:pPr>
      <w:r w:rsidDel="00000000" w:rsidR="00000000" w:rsidRPr="00000000">
        <w:rPr>
          <w:b w:val="1"/>
          <w:sz w:val="22"/>
          <w:szCs w:val="22"/>
          <w:highlight w:val="lightGray"/>
          <w:rtl w:val="0"/>
        </w:rPr>
        <w:br w:type="textWrapping"/>
      </w:r>
      <w:r w:rsidDel="00000000" w:rsidR="00000000" w:rsidRPr="00000000">
        <w:rPr>
          <w:b w:val="1"/>
          <w:sz w:val="22"/>
          <w:szCs w:val="22"/>
          <w:u w:val="single"/>
          <w:rtl w:val="0"/>
        </w:rPr>
        <w:t xml:space="preserve">II.1.5) Estimated total value</w:t>
      </w:r>
    </w:p>
    <w:p w:rsidR="00000000" w:rsidDel="00000000" w:rsidP="00000000" w:rsidRDefault="00000000" w:rsidRPr="00000000" w14:paraId="00000030">
      <w:pPr>
        <w:rPr>
          <w:sz w:val="22"/>
          <w:szCs w:val="22"/>
          <w:highlight w:val="cyan"/>
        </w:rPr>
      </w:pPr>
      <w:r w:rsidDel="00000000" w:rsidR="00000000" w:rsidRPr="00000000">
        <w:rPr>
          <w:sz w:val="22"/>
          <w:szCs w:val="22"/>
          <w:rtl w:val="0"/>
        </w:rPr>
        <w:t xml:space="preserve">Currency:  Euro</w:t>
      </w:r>
      <w:r w:rsidDel="00000000" w:rsidR="00000000" w:rsidRPr="00000000">
        <w:rPr>
          <w:rtl w:val="0"/>
        </w:rPr>
      </w:r>
    </w:p>
    <w:p w:rsidR="00000000" w:rsidDel="00000000" w:rsidP="00000000" w:rsidRDefault="00000000" w:rsidRPr="00000000" w14:paraId="00000031">
      <w:pPr>
        <w:rPr>
          <w:b w:val="1"/>
          <w:sz w:val="22"/>
          <w:szCs w:val="22"/>
          <w:u w:val="single"/>
        </w:rPr>
      </w:pPr>
      <w:r w:rsidDel="00000000" w:rsidR="00000000" w:rsidRPr="00000000">
        <w:rPr>
          <w:b w:val="1"/>
          <w:sz w:val="22"/>
          <w:szCs w:val="22"/>
          <w:u w:val="single"/>
          <w:rtl w:val="0"/>
        </w:rPr>
        <w:br w:type="textWrapping"/>
        <w:t xml:space="preserve">IV.1.1.) Type of Procedure</w:t>
      </w:r>
    </w:p>
    <w:p w:rsidR="00000000" w:rsidDel="00000000" w:rsidP="00000000" w:rsidRDefault="00000000" w:rsidRPr="00000000" w14:paraId="00000032">
      <w:pPr>
        <w:rPr>
          <w:b w:val="0"/>
          <w:sz w:val="22"/>
          <w:szCs w:val="22"/>
          <w:u w:val="single"/>
        </w:rPr>
      </w:pPr>
      <w:r w:rsidDel="00000000" w:rsidR="00000000" w:rsidRPr="00000000">
        <w:rPr>
          <w:sz w:val="22"/>
          <w:szCs w:val="22"/>
          <w:highlight w:val="white"/>
          <w:rtl w:val="0"/>
        </w:rPr>
        <w:t xml:space="preserve">Simplified Procedure</w:t>
      </w:r>
      <w:r w:rsidDel="00000000" w:rsidR="00000000" w:rsidRPr="00000000">
        <w:rPr>
          <w:b w:val="0"/>
          <w:sz w:val="22"/>
          <w:szCs w:val="22"/>
          <w:u w:val="single"/>
          <w:rtl w:val="0"/>
        </w:rPr>
        <w:br w:type="textWrapping"/>
      </w:r>
      <w:r w:rsidDel="00000000" w:rsidR="00000000" w:rsidRPr="00000000">
        <w:rPr>
          <w:b w:val="1"/>
          <w:sz w:val="22"/>
          <w:szCs w:val="22"/>
          <w:highlight w:val="lightGray"/>
          <w:rtl w:val="0"/>
        </w:rPr>
        <w:br w:type="textWrapping"/>
      </w:r>
      <w:r w:rsidDel="00000000" w:rsidR="00000000" w:rsidRPr="00000000">
        <w:rPr>
          <w:b w:val="1"/>
          <w:sz w:val="22"/>
          <w:szCs w:val="22"/>
          <w:u w:val="single"/>
          <w:rtl w:val="0"/>
        </w:rPr>
        <w:t xml:space="preserve">II.1.6) Information about lots</w:t>
      </w:r>
      <w:r w:rsidDel="00000000" w:rsidR="00000000" w:rsidRPr="00000000">
        <w:rPr>
          <w:rtl w:val="0"/>
        </w:rPr>
      </w:r>
    </w:p>
    <w:p w:rsidR="00000000" w:rsidDel="00000000" w:rsidP="00000000" w:rsidRDefault="00000000" w:rsidRPr="00000000" w14:paraId="00000033">
      <w:pPr>
        <w:rPr>
          <w:b w:val="0"/>
          <w:sz w:val="22"/>
          <w:szCs w:val="22"/>
          <w:highlight w:val="white"/>
        </w:rPr>
      </w:pPr>
      <w:r w:rsidDel="00000000" w:rsidR="00000000" w:rsidRPr="00000000">
        <w:rPr>
          <w:b w:val="0"/>
          <w:sz w:val="22"/>
          <w:szCs w:val="22"/>
          <w:highlight w:val="white"/>
          <w:rtl w:val="0"/>
        </w:rPr>
        <w:t xml:space="preserve">one lot only</w:t>
      </w:r>
    </w:p>
    <w:p w:rsidR="00000000" w:rsidDel="00000000" w:rsidP="00000000" w:rsidRDefault="00000000" w:rsidRPr="00000000" w14:paraId="00000034">
      <w:pPr>
        <w:rPr>
          <w:b w:val="1"/>
          <w:sz w:val="22"/>
          <w:szCs w:val="22"/>
          <w:u w:val="single"/>
        </w:rPr>
      </w:pPr>
      <w:r w:rsidDel="00000000" w:rsidR="00000000" w:rsidRPr="00000000">
        <w:rPr>
          <w:b w:val="1"/>
          <w:sz w:val="22"/>
          <w:szCs w:val="22"/>
          <w:u w:val="single"/>
          <w:rtl w:val="0"/>
        </w:rPr>
        <w:br w:type="textWrapping"/>
        <w:t xml:space="preserve">CALL FOR TENDER: INFORMATION PER LOT</w:t>
      </w:r>
    </w:p>
    <w:p w:rsidR="00000000" w:rsidDel="00000000" w:rsidP="00000000" w:rsidRDefault="00000000" w:rsidRPr="00000000" w14:paraId="00000035">
      <w:pPr>
        <w:rPr>
          <w:b w:val="0"/>
          <w:sz w:val="22"/>
          <w:szCs w:val="22"/>
          <w:highlight w:val="white"/>
        </w:rPr>
      </w:pPr>
      <w:r w:rsidDel="00000000" w:rsidR="00000000" w:rsidRPr="00000000">
        <w:rPr>
          <w:b w:val="1"/>
          <w:sz w:val="22"/>
          <w:szCs w:val="22"/>
          <w:u w:val="single"/>
          <w:rtl w:val="0"/>
        </w:rPr>
        <w:t xml:space="preserve">II.2) Description</w:t>
        <w:br w:type="textWrapping"/>
      </w:r>
      <w:r w:rsidDel="00000000" w:rsidR="00000000" w:rsidRPr="00000000">
        <w:rPr>
          <w:b w:val="1"/>
          <w:sz w:val="22"/>
          <w:szCs w:val="22"/>
          <w:highlight w:val="lightGray"/>
          <w:rtl w:val="0"/>
        </w:rPr>
        <w:br w:type="textWrapping"/>
      </w:r>
      <w:r w:rsidDel="00000000" w:rsidR="00000000" w:rsidRPr="00000000">
        <w:rPr>
          <w:b w:val="0"/>
          <w:sz w:val="22"/>
          <w:szCs w:val="22"/>
          <w:rtl w:val="0"/>
        </w:rPr>
        <w:t xml:space="preserve">Lot no.: 1</w:t>
      </w:r>
      <w:r w:rsidDel="00000000" w:rsidR="00000000" w:rsidRPr="00000000">
        <w:rPr>
          <w:b w:val="1"/>
          <w:sz w:val="22"/>
          <w:szCs w:val="22"/>
          <w:rtl w:val="0"/>
        </w:rPr>
        <w:br w:type="textWrapping"/>
      </w:r>
      <w:r w:rsidDel="00000000" w:rsidR="00000000" w:rsidRPr="00000000">
        <w:rPr>
          <w:b w:val="0"/>
          <w:sz w:val="22"/>
          <w:szCs w:val="22"/>
          <w:highlight w:val="white"/>
          <w:rtl w:val="0"/>
        </w:rPr>
        <w:t xml:space="preserve">Title: </w:t>
      </w:r>
      <w:r w:rsidDel="00000000" w:rsidR="00000000" w:rsidRPr="00000000">
        <w:rPr>
          <w:sz w:val="22"/>
          <w:szCs w:val="22"/>
          <w:highlight w:val="white"/>
          <w:rtl w:val="0"/>
        </w:rPr>
        <w:t xml:space="preserve">Equipment SUCCESS CBHE</w:t>
      </w:r>
      <w:r w:rsidDel="00000000" w:rsidR="00000000" w:rsidRPr="00000000">
        <w:rPr>
          <w:rtl w:val="0"/>
        </w:rPr>
      </w:r>
    </w:p>
    <w:p w:rsidR="00000000" w:rsidDel="00000000" w:rsidP="00000000" w:rsidRDefault="00000000" w:rsidRPr="00000000" w14:paraId="00000036">
      <w:pPr>
        <w:rPr>
          <w:b w:val="1"/>
          <w:sz w:val="22"/>
          <w:szCs w:val="22"/>
          <w:highlight w:val="white"/>
          <w:u w:val="single"/>
        </w:rPr>
      </w:pPr>
      <w:r w:rsidDel="00000000" w:rsidR="00000000" w:rsidRPr="00000000">
        <w:rPr>
          <w:b w:val="1"/>
          <w:sz w:val="22"/>
          <w:szCs w:val="22"/>
          <w:rtl w:val="0"/>
        </w:rPr>
        <w:br w:type="textWrapping"/>
      </w:r>
      <w:r w:rsidDel="00000000" w:rsidR="00000000" w:rsidRPr="00000000">
        <w:rPr>
          <w:b w:val="1"/>
          <w:sz w:val="22"/>
          <w:szCs w:val="22"/>
          <w:u w:val="single"/>
          <w:rtl w:val="0"/>
        </w:rPr>
        <w:t xml:space="preserve">II.2.3) </w:t>
      </w:r>
      <w:r w:rsidDel="00000000" w:rsidR="00000000" w:rsidRPr="00000000">
        <w:rPr>
          <w:b w:val="1"/>
          <w:sz w:val="22"/>
          <w:szCs w:val="22"/>
          <w:highlight w:val="white"/>
          <w:u w:val="single"/>
          <w:rtl w:val="0"/>
        </w:rPr>
        <w:t xml:space="preserve">Place performance</w:t>
      </w:r>
    </w:p>
    <w:p w:rsidR="00000000" w:rsidDel="00000000" w:rsidP="00000000" w:rsidRDefault="00000000" w:rsidRPr="00000000" w14:paraId="00000037">
      <w:pPr>
        <w:rPr>
          <w:b w:val="0"/>
          <w:sz w:val="22"/>
          <w:szCs w:val="22"/>
          <w:highlight w:val="white"/>
        </w:rPr>
      </w:pPr>
      <w:r w:rsidDel="00000000" w:rsidR="00000000" w:rsidRPr="00000000">
        <w:rPr>
          <w:b w:val="0"/>
          <w:sz w:val="22"/>
          <w:szCs w:val="22"/>
          <w:highlight w:val="white"/>
          <w:rtl w:val="0"/>
        </w:rPr>
        <w:t xml:space="preserve">Geographical zone benefitting from the action: Region 1: Western Balkans</w:t>
      </w:r>
    </w:p>
    <w:p w:rsidR="00000000" w:rsidDel="00000000" w:rsidP="00000000" w:rsidRDefault="00000000" w:rsidRPr="00000000" w14:paraId="00000038">
      <w:pPr>
        <w:rPr>
          <w:b w:val="1"/>
          <w:sz w:val="22"/>
          <w:szCs w:val="22"/>
          <w:u w:val="single"/>
        </w:rPr>
      </w:pPr>
      <w:r w:rsidDel="00000000" w:rsidR="00000000" w:rsidRPr="00000000">
        <w:rPr>
          <w:b w:val="1"/>
          <w:sz w:val="22"/>
          <w:szCs w:val="22"/>
          <w:highlight w:val="lightGray"/>
          <w:rtl w:val="0"/>
        </w:rPr>
        <w:br w:type="textWrapping"/>
      </w:r>
      <w:r w:rsidDel="00000000" w:rsidR="00000000" w:rsidRPr="00000000">
        <w:rPr>
          <w:b w:val="1"/>
          <w:sz w:val="22"/>
          <w:szCs w:val="22"/>
          <w:u w:val="single"/>
          <w:rtl w:val="0"/>
        </w:rPr>
        <w:t xml:space="preserve">II.2.5) Award Criteria</w:t>
      </w:r>
    </w:p>
    <w:p w:rsidR="00000000" w:rsidDel="00000000" w:rsidP="00000000" w:rsidRDefault="00000000" w:rsidRPr="00000000" w14:paraId="00000039">
      <w:pPr>
        <w:rPr>
          <w:sz w:val="22"/>
          <w:szCs w:val="22"/>
        </w:rPr>
      </w:pPr>
      <w:r w:rsidDel="00000000" w:rsidR="00000000" w:rsidRPr="00000000">
        <w:rPr>
          <w:sz w:val="22"/>
          <w:szCs w:val="22"/>
          <w:highlight w:val="white"/>
          <w:rtl w:val="0"/>
        </w:rPr>
        <w:t xml:space="preserve">Price or, if appropriate after prior approval: Best price-quality ratio</w:t>
      </w:r>
      <w:r w:rsidDel="00000000" w:rsidR="00000000" w:rsidRPr="00000000">
        <w:rPr>
          <w:b w:val="0"/>
          <w:sz w:val="22"/>
          <w:szCs w:val="22"/>
          <w:highlight w:val="lightGray"/>
          <w:rtl w:val="0"/>
        </w:rPr>
        <w:br w:type="textWrapping"/>
      </w:r>
      <w:r w:rsidDel="00000000" w:rsidR="00000000" w:rsidRPr="00000000">
        <w:rPr>
          <w:rtl w:val="0"/>
        </w:rPr>
      </w:r>
    </w:p>
    <w:p w:rsidR="00000000" w:rsidDel="00000000" w:rsidP="00000000" w:rsidRDefault="00000000" w:rsidRPr="00000000" w14:paraId="0000003A">
      <w:pPr>
        <w:rPr>
          <w:b w:val="1"/>
          <w:sz w:val="22"/>
          <w:szCs w:val="22"/>
          <w:u w:val="single"/>
        </w:rPr>
      </w:pPr>
      <w:r w:rsidDel="00000000" w:rsidR="00000000" w:rsidRPr="00000000">
        <w:rPr>
          <w:b w:val="1"/>
          <w:sz w:val="22"/>
          <w:szCs w:val="22"/>
          <w:u w:val="single"/>
          <w:rtl w:val="0"/>
        </w:rPr>
        <w:t xml:space="preserve">II.2.14) Additional information</w:t>
      </w:r>
    </w:p>
    <w:p w:rsidR="00000000" w:rsidDel="00000000" w:rsidP="00000000" w:rsidRDefault="00000000" w:rsidRPr="00000000" w14:paraId="0000003B">
      <w:pPr>
        <w:jc w:val="both"/>
        <w:rPr>
          <w:b w:val="0"/>
          <w:sz w:val="22"/>
          <w:szCs w:val="22"/>
        </w:rPr>
      </w:pPr>
      <w:r w:rsidDel="00000000" w:rsidR="00000000" w:rsidRPr="00000000">
        <w:rPr>
          <w:sz w:val="22"/>
          <w:szCs w:val="22"/>
          <w:rtl w:val="0"/>
        </w:rPr>
        <w:t xml:space="preserve">NA</w:t>
      </w:r>
      <w:r w:rsidDel="00000000" w:rsidR="00000000" w:rsidRPr="00000000">
        <w:rPr>
          <w:rtl w:val="0"/>
        </w:rPr>
      </w:r>
    </w:p>
    <w:p w:rsidR="00000000" w:rsidDel="00000000" w:rsidP="00000000" w:rsidRDefault="00000000" w:rsidRPr="00000000" w14:paraId="0000003C">
      <w:pPr>
        <w:rPr>
          <w:b w:val="1"/>
          <w:sz w:val="22"/>
          <w:szCs w:val="22"/>
          <w:u w:val="single"/>
        </w:rPr>
      </w:pPr>
      <w:r w:rsidDel="00000000" w:rsidR="00000000" w:rsidRPr="00000000">
        <w:rPr>
          <w:b w:val="1"/>
          <w:sz w:val="22"/>
          <w:szCs w:val="22"/>
          <w:rtl w:val="0"/>
        </w:rPr>
        <w:br w:type="textWrapping"/>
      </w:r>
      <w:r w:rsidDel="00000000" w:rsidR="00000000" w:rsidRPr="00000000">
        <w:rPr>
          <w:b w:val="1"/>
          <w:sz w:val="22"/>
          <w:szCs w:val="22"/>
          <w:u w:val="single"/>
          <w:rtl w:val="0"/>
        </w:rPr>
        <w:t xml:space="preserve">IV.2.2) Time limit for submission of tenders or requests to participate</w:t>
      </w:r>
    </w:p>
    <w:p w:rsidR="00000000" w:rsidDel="00000000" w:rsidP="00000000" w:rsidRDefault="00000000" w:rsidRPr="00000000" w14:paraId="0000003D">
      <w:pPr>
        <w:rPr>
          <w:b w:val="0"/>
          <w:sz w:val="22"/>
          <w:szCs w:val="22"/>
          <w:highlight w:val="white"/>
        </w:rPr>
      </w:pPr>
      <w:r w:rsidDel="00000000" w:rsidR="00000000" w:rsidRPr="00000000">
        <w:rPr>
          <w:b w:val="0"/>
          <w:sz w:val="22"/>
          <w:szCs w:val="22"/>
          <w:highlight w:val="white"/>
          <w:rtl w:val="0"/>
        </w:rPr>
        <w:t xml:space="preserve">Date: </w:t>
      </w:r>
      <w:r w:rsidDel="00000000" w:rsidR="00000000" w:rsidRPr="00000000">
        <w:rPr>
          <w:sz w:val="22"/>
          <w:szCs w:val="22"/>
          <w:highlight w:val="white"/>
          <w:rtl w:val="0"/>
        </w:rPr>
        <w:t xml:space="preserve">17.01.2022</w:t>
      </w:r>
      <w:r w:rsidDel="00000000" w:rsidR="00000000" w:rsidRPr="00000000">
        <w:rPr>
          <w:b w:val="0"/>
          <w:sz w:val="22"/>
          <w:szCs w:val="22"/>
          <w:highlight w:val="white"/>
          <w:rtl w:val="0"/>
        </w:rPr>
        <w:br w:type="textWrapping"/>
        <w:t xml:space="preserve">Local Time: </w:t>
      </w:r>
      <w:r w:rsidDel="00000000" w:rsidR="00000000" w:rsidRPr="00000000">
        <w:rPr>
          <w:sz w:val="22"/>
          <w:szCs w:val="22"/>
          <w:highlight w:val="white"/>
          <w:rtl w:val="0"/>
        </w:rPr>
        <w:t xml:space="preserve">10.00 AM</w:t>
      </w:r>
      <w:r w:rsidDel="00000000" w:rsidR="00000000" w:rsidRPr="00000000">
        <w:rPr>
          <w:rtl w:val="0"/>
        </w:rPr>
      </w:r>
    </w:p>
    <w:p w:rsidR="00000000" w:rsidDel="00000000" w:rsidP="00000000" w:rsidRDefault="00000000" w:rsidRPr="00000000" w14:paraId="0000003E">
      <w:pPr>
        <w:rPr>
          <w:b w:val="1"/>
          <w:sz w:val="22"/>
          <w:szCs w:val="22"/>
          <w:u w:val="single"/>
        </w:rPr>
      </w:pPr>
      <w:r w:rsidDel="00000000" w:rsidR="00000000" w:rsidRPr="00000000">
        <w:rPr>
          <w:b w:val="1"/>
          <w:sz w:val="22"/>
          <w:szCs w:val="22"/>
          <w:rtl w:val="0"/>
        </w:rPr>
        <w:br w:type="textWrapping"/>
      </w:r>
      <w:r w:rsidDel="00000000" w:rsidR="00000000" w:rsidRPr="00000000">
        <w:rPr>
          <w:b w:val="1"/>
          <w:sz w:val="22"/>
          <w:szCs w:val="22"/>
          <w:u w:val="single"/>
          <w:rtl w:val="0"/>
        </w:rPr>
        <w:t xml:space="preserve">IV.2.6) Minimum time frame during which the tenderer must maintain the tender</w:t>
      </w:r>
    </w:p>
    <w:p w:rsidR="00000000" w:rsidDel="00000000" w:rsidP="00000000" w:rsidRDefault="00000000" w:rsidRPr="00000000" w14:paraId="0000003F">
      <w:pPr>
        <w:rPr>
          <w:b w:val="0"/>
          <w:sz w:val="22"/>
          <w:szCs w:val="22"/>
          <w:highlight w:val="white"/>
        </w:rPr>
      </w:pPr>
      <w:r w:rsidDel="00000000" w:rsidR="00000000" w:rsidRPr="00000000">
        <w:rPr>
          <w:b w:val="0"/>
          <w:sz w:val="22"/>
          <w:szCs w:val="22"/>
          <w:highlight w:val="white"/>
          <w:rtl w:val="0"/>
        </w:rPr>
        <w:t xml:space="preserve">Duration in months:  </w:t>
      </w:r>
      <w:r w:rsidDel="00000000" w:rsidR="00000000" w:rsidRPr="00000000">
        <w:rPr>
          <w:sz w:val="22"/>
          <w:szCs w:val="22"/>
          <w:highlight w:val="white"/>
          <w:rtl w:val="0"/>
        </w:rPr>
        <w:t xml:space="preserve">3 months </w:t>
      </w:r>
      <w:r w:rsidDel="00000000" w:rsidR="00000000" w:rsidRPr="00000000">
        <w:rPr>
          <w:b w:val="0"/>
          <w:sz w:val="22"/>
          <w:szCs w:val="22"/>
          <w:highlight w:val="white"/>
          <w:rtl w:val="0"/>
        </w:rPr>
        <w:t xml:space="preserve">(from the date stated for receipt of tender)</w:t>
      </w:r>
    </w:p>
    <w:p w:rsidR="00000000" w:rsidDel="00000000" w:rsidP="00000000" w:rsidRDefault="00000000" w:rsidRPr="00000000" w14:paraId="00000040">
      <w:pPr>
        <w:rPr>
          <w:b w:val="1"/>
          <w:sz w:val="22"/>
          <w:szCs w:val="22"/>
          <w:u w:val="single"/>
        </w:rPr>
      </w:pPr>
      <w:r w:rsidDel="00000000" w:rsidR="00000000" w:rsidRPr="00000000">
        <w:rPr>
          <w:b w:val="1"/>
          <w:sz w:val="22"/>
          <w:szCs w:val="22"/>
          <w:u w:val="single"/>
          <w:rtl w:val="0"/>
        </w:rPr>
        <w:br w:type="textWrapping"/>
        <w:t xml:space="preserve">IV.2.7) Conditions for opening of tenders </w:t>
      </w:r>
    </w:p>
    <w:p w:rsidR="00000000" w:rsidDel="00000000" w:rsidP="00000000" w:rsidRDefault="00000000" w:rsidRPr="00000000" w14:paraId="00000041">
      <w:pPr>
        <w:rPr>
          <w:sz w:val="22"/>
          <w:szCs w:val="22"/>
          <w:highlight w:val="white"/>
        </w:rPr>
      </w:pPr>
      <w:r w:rsidDel="00000000" w:rsidR="00000000" w:rsidRPr="00000000">
        <w:rPr>
          <w:b w:val="0"/>
          <w:sz w:val="22"/>
          <w:szCs w:val="22"/>
          <w:rtl w:val="0"/>
        </w:rPr>
        <w:t xml:space="preserve">Date:</w:t>
      </w:r>
      <w:r w:rsidDel="00000000" w:rsidR="00000000" w:rsidRPr="00000000">
        <w:rPr>
          <w:sz w:val="22"/>
          <w:szCs w:val="22"/>
          <w:rtl w:val="0"/>
        </w:rPr>
        <w:t xml:space="preserve">February 11, 2022</w:t>
      </w:r>
      <w:r w:rsidDel="00000000" w:rsidR="00000000" w:rsidRPr="00000000">
        <w:rPr>
          <w:b w:val="0"/>
          <w:sz w:val="22"/>
          <w:szCs w:val="22"/>
          <w:rtl w:val="0"/>
        </w:rPr>
        <w:br w:type="textWrapping"/>
        <w:t xml:space="preserve">Local time:</w:t>
      </w:r>
      <w:r w:rsidDel="00000000" w:rsidR="00000000" w:rsidRPr="00000000">
        <w:rPr>
          <w:b w:val="0"/>
          <w:sz w:val="22"/>
          <w:szCs w:val="22"/>
          <w:highlight w:val="white"/>
          <w:rtl w:val="0"/>
        </w:rPr>
        <w:t xml:space="preserve"> </w:t>
      </w:r>
      <w:r w:rsidDel="00000000" w:rsidR="00000000" w:rsidRPr="00000000">
        <w:rPr>
          <w:sz w:val="22"/>
          <w:szCs w:val="22"/>
          <w:highlight w:val="white"/>
          <w:rtl w:val="0"/>
        </w:rPr>
        <w:t xml:space="preserve">10:30 AM</w:t>
      </w:r>
      <w:r w:rsidDel="00000000" w:rsidR="00000000" w:rsidRPr="00000000">
        <w:rPr>
          <w:b w:val="1"/>
          <w:sz w:val="22"/>
          <w:szCs w:val="22"/>
          <w:highlight w:val="white"/>
          <w:rtl w:val="0"/>
        </w:rPr>
        <w:br w:type="textWrapping"/>
      </w:r>
      <w:r w:rsidDel="00000000" w:rsidR="00000000" w:rsidRPr="00000000">
        <w:rPr>
          <w:b w:val="0"/>
          <w:sz w:val="22"/>
          <w:szCs w:val="22"/>
          <w:highlight w:val="white"/>
          <w:rtl w:val="0"/>
        </w:rPr>
        <w:t xml:space="preserve">Place: Diversity Room</w:t>
      </w: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sectPr>
      <w:footerReference r:id="rId9" w:type="default"/>
      <w:pgSz w:h="15840" w:w="12240" w:orient="portrait"/>
      <w:pgMar w:bottom="1276" w:top="709" w:left="1418" w:right="1440" w:header="851" w:footer="63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320"/>
        <w:tab w:val="right" w:pos="8640"/>
        <w:tab w:val="right" w:pos="9214"/>
      </w:tabs>
      <w:spacing w:after="0" w:before="0" w:line="240" w:lineRule="auto"/>
      <w:ind w:left="0" w:right="0" w:firstLine="0"/>
      <w:jc w:val="left"/>
      <w:rPr>
        <w:rFonts w:ascii="Times New Roman" w:cs="Times New Roman" w:eastAsia="Times New Roman" w:hAnsi="Times New Roman"/>
        <w:b w:val="1"/>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8"/>
        <w:szCs w:val="18"/>
        <w:u w:val="none"/>
        <w:shd w:fill="auto" w:val="clear"/>
        <w:vertAlign w:val="baseline"/>
        <w:rtl w:val="0"/>
      </w:rPr>
      <w:t xml:space="preserve">January 2022</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320"/>
        <w:tab w:val="right" w:pos="8640"/>
        <w:tab w:val="right" w:pos="9214"/>
      </w:tabs>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a5e_contractnotice_enotices_en.doc</w:t>
      <w:tab/>
      <w:t xml:space="preserve">Page </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widowControl w:val="0"/>
        <w:spacing w:after="100" w:before="1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widowControl w:val="1"/>
      <w:spacing w:after="120" w:before="120" w:lineRule="auto"/>
    </w:pPr>
    <w:rPr>
      <w:rFonts w:ascii="Arial" w:cs="Arial" w:eastAsia="Arial" w:hAnsi="Arial"/>
      <w:sz w:val="20"/>
      <w:szCs w:val="20"/>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widowControl w:val="0"/>
      <w:spacing w:after="100" w:before="100"/>
    </w:pPr>
    <w:rPr>
      <w:snapToGrid w:val="0"/>
      <w:sz w:val="24"/>
    </w:rPr>
  </w:style>
  <w:style w:type="paragraph" w:styleId="Heading2">
    <w:name w:val="heading 2"/>
    <w:basedOn w:val="Normal"/>
    <w:next w:val="Normal"/>
    <w:qFormat w:val="1"/>
    <w:rsid w:val="007D6292"/>
    <w:pPr>
      <w:keepNext w:val="1"/>
      <w:widowControl w:val="1"/>
      <w:spacing w:after="120" w:before="120"/>
      <w:outlineLvl w:val="1"/>
    </w:pPr>
    <w:rPr>
      <w:rFonts w:ascii="Arial" w:hAnsi="Arial"/>
      <w:sz w:val="20"/>
      <w:lang w:val="fr-BE"/>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DefinitionTerm" w:customStyle="1">
    <w:name w:val="Definition Term"/>
    <w:basedOn w:val="Normal"/>
    <w:next w:val="DefinitionList"/>
    <w:pPr>
      <w:spacing w:after="0" w:before="0"/>
    </w:pPr>
  </w:style>
  <w:style w:type="paragraph" w:styleId="DefinitionList" w:customStyle="1">
    <w:name w:val="Definition List"/>
    <w:basedOn w:val="Normal"/>
    <w:next w:val="DefinitionTerm"/>
    <w:pPr>
      <w:spacing w:after="0" w:before="0"/>
      <w:ind w:left="360"/>
    </w:pPr>
  </w:style>
  <w:style w:type="character" w:styleId="Definition" w:customStyle="1">
    <w:name w:val="Definition"/>
    <w:rPr>
      <w:i w:val="1"/>
    </w:rPr>
  </w:style>
  <w:style w:type="paragraph" w:styleId="H1" w:customStyle="1">
    <w:name w:val="H1"/>
    <w:basedOn w:val="Normal"/>
    <w:next w:val="Normal"/>
    <w:pPr>
      <w:keepNext w:val="1"/>
      <w:outlineLvl w:val="1"/>
    </w:pPr>
    <w:rPr>
      <w:b w:val="1"/>
      <w:kern w:val="36"/>
      <w:sz w:val="48"/>
    </w:rPr>
  </w:style>
  <w:style w:type="paragraph" w:styleId="H2" w:customStyle="1">
    <w:name w:val="H2"/>
    <w:basedOn w:val="Normal"/>
    <w:next w:val="Normal"/>
    <w:pPr>
      <w:keepNext w:val="1"/>
      <w:outlineLvl w:val="2"/>
    </w:pPr>
    <w:rPr>
      <w:b w:val="1"/>
      <w:sz w:val="36"/>
    </w:rPr>
  </w:style>
  <w:style w:type="paragraph" w:styleId="H3" w:customStyle="1">
    <w:name w:val="H3"/>
    <w:basedOn w:val="Normal"/>
    <w:next w:val="Normal"/>
    <w:pPr>
      <w:keepNext w:val="1"/>
      <w:outlineLvl w:val="3"/>
    </w:pPr>
    <w:rPr>
      <w:b w:val="1"/>
      <w:sz w:val="28"/>
    </w:rPr>
  </w:style>
  <w:style w:type="paragraph" w:styleId="H4" w:customStyle="1">
    <w:name w:val="H4"/>
    <w:basedOn w:val="Normal"/>
    <w:next w:val="Normal"/>
    <w:pPr>
      <w:keepNext w:val="1"/>
      <w:outlineLvl w:val="4"/>
    </w:pPr>
    <w:rPr>
      <w:b w:val="1"/>
    </w:rPr>
  </w:style>
  <w:style w:type="paragraph" w:styleId="H5" w:customStyle="1">
    <w:name w:val="H5"/>
    <w:basedOn w:val="Normal"/>
    <w:next w:val="Normal"/>
    <w:pPr>
      <w:keepNext w:val="1"/>
      <w:outlineLvl w:val="5"/>
    </w:pPr>
    <w:rPr>
      <w:b w:val="1"/>
      <w:sz w:val="20"/>
    </w:rPr>
  </w:style>
  <w:style w:type="paragraph" w:styleId="H6" w:customStyle="1">
    <w:name w:val="H6"/>
    <w:basedOn w:val="Normal"/>
    <w:next w:val="Normal"/>
    <w:pPr>
      <w:keepNext w:val="1"/>
      <w:outlineLvl w:val="6"/>
    </w:pPr>
    <w:rPr>
      <w:b w:val="1"/>
      <w:sz w:val="16"/>
    </w:rPr>
  </w:style>
  <w:style w:type="paragraph" w:styleId="Address" w:customStyle="1">
    <w:name w:val="Address"/>
    <w:basedOn w:val="Normal"/>
    <w:next w:val="Normal"/>
    <w:pPr>
      <w:spacing w:after="0" w:before="0"/>
    </w:pPr>
    <w:rPr>
      <w:i w:val="1"/>
    </w:rPr>
  </w:style>
  <w:style w:type="paragraph" w:styleId="Blockquote" w:customStyle="1">
    <w:name w:val="Blockquote"/>
    <w:basedOn w:val="Normal"/>
    <w:pPr>
      <w:ind w:left="360" w:right="360"/>
    </w:pPr>
  </w:style>
  <w:style w:type="character" w:styleId="CITE" w:customStyle="1">
    <w:name w:val="CITE"/>
    <w:rPr>
      <w:i w:val="1"/>
    </w:rPr>
  </w:style>
  <w:style w:type="character" w:styleId="CODE" w:customStyle="1">
    <w:name w:val="CODE"/>
    <w:rPr>
      <w:rFonts w:ascii="Courier New" w:hAnsi="Courier New"/>
      <w:sz w:val="20"/>
    </w:rPr>
  </w:style>
  <w:style w:type="character" w:styleId="Emphasis">
    <w:name w:val="Emphasis"/>
    <w:qFormat w:val="1"/>
    <w:rPr>
      <w:i w:val="1"/>
    </w:rPr>
  </w:style>
  <w:style w:type="character" w:styleId="Hyperlink">
    <w:name w:val="Hyperlink"/>
    <w:rPr>
      <w:color w:val="0000ff"/>
      <w:u w:val="single"/>
    </w:rPr>
  </w:style>
  <w:style w:type="character" w:styleId="FollowedHyperlink">
    <w:name w:val="FollowedHyperlink"/>
    <w:rPr>
      <w:color w:val="800080"/>
      <w:u w:val="single"/>
    </w:rPr>
  </w:style>
  <w:style w:type="character" w:styleId="Keyboard" w:customStyle="1">
    <w:name w:val="Keyboard"/>
    <w:rPr>
      <w:rFonts w:ascii="Courier New" w:hAnsi="Courier New"/>
      <w:b w:val="1"/>
      <w:sz w:val="20"/>
    </w:rPr>
  </w:style>
  <w:style w:type="paragraph" w:styleId="Preformatted" w:customStyle="1">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before="0"/>
    </w:pPr>
    <w:rPr>
      <w:rFonts w:ascii="Courier New" w:hAnsi="Courier New"/>
      <w:sz w:val="20"/>
    </w:rPr>
  </w:style>
  <w:style w:type="paragraph" w:styleId="z-BottomofForm">
    <w:name w:val="HTML Bottom of Form"/>
    <w:next w:val="Normal"/>
    <w:hidden w:val="1"/>
    <w:pPr>
      <w:widowControl w:val="0"/>
      <w:pBdr>
        <w:top w:color="000000" w:space="0" w:sz="2" w:val="double"/>
      </w:pBdr>
      <w:jc w:val="center"/>
    </w:pPr>
    <w:rPr>
      <w:rFonts w:ascii="Arial" w:hAnsi="Arial"/>
      <w:snapToGrid w:val="0"/>
      <w:vanish w:val="1"/>
      <w:sz w:val="16"/>
    </w:rPr>
  </w:style>
  <w:style w:type="paragraph" w:styleId="z-TopofForm">
    <w:name w:val="HTML Top of Form"/>
    <w:next w:val="Normal"/>
    <w:hidden w:val="1"/>
    <w:pPr>
      <w:widowControl w:val="0"/>
      <w:pBdr>
        <w:bottom w:color="000000" w:space="0" w:sz="2" w:val="double"/>
      </w:pBdr>
      <w:jc w:val="center"/>
    </w:pPr>
    <w:rPr>
      <w:rFonts w:ascii="Arial" w:hAnsi="Arial"/>
      <w:snapToGrid w:val="0"/>
      <w:vanish w:val="1"/>
      <w:sz w:val="16"/>
    </w:rPr>
  </w:style>
  <w:style w:type="character" w:styleId="Sample" w:customStyle="1">
    <w:name w:val="Sample"/>
    <w:rPr>
      <w:rFonts w:ascii="Courier New" w:hAnsi="Courier New"/>
    </w:rPr>
  </w:style>
  <w:style w:type="character" w:styleId="Strong">
    <w:name w:val="Strong"/>
    <w:qFormat w:val="1"/>
    <w:rPr>
      <w:b w:val="1"/>
    </w:rPr>
  </w:style>
  <w:style w:type="character" w:styleId="Typewriter" w:customStyle="1">
    <w:name w:val="Typewriter"/>
    <w:rPr>
      <w:rFonts w:ascii="Courier New" w:hAnsi="Courier New"/>
      <w:sz w:val="20"/>
    </w:rPr>
  </w:style>
  <w:style w:type="character" w:styleId="Variable" w:customStyle="1">
    <w:name w:val="Variable"/>
    <w:rPr>
      <w:i w:val="1"/>
    </w:rPr>
  </w:style>
  <w:style w:type="character" w:styleId="HTMLMarkup" w:customStyle="1">
    <w:name w:val="HTML Markup"/>
    <w:rPr>
      <w:vanish w:val="1"/>
      <w:color w:val="ff0000"/>
    </w:rPr>
  </w:style>
  <w:style w:type="character" w:styleId="Comment" w:customStyle="1">
    <w:name w:val="Comment"/>
    <w:rPr>
      <w:vanish w:val="1"/>
    </w:rPr>
  </w:style>
  <w:style w:type="paragraph" w:styleId="DocumentMap">
    <w:name w:val="Document Map"/>
    <w:basedOn w:val="Normal"/>
    <w:semiHidden w:val="1"/>
    <w:pPr>
      <w:shd w:color="auto" w:fill="000080" w:val="clear"/>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val="1"/>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val="1"/>
      <w:spacing w:after="120" w:before="120" w:line="240" w:lineRule="exact"/>
      <w:jc w:val="both"/>
    </w:pPr>
    <w:rPr>
      <w:rFonts w:ascii="Arial" w:hAnsi="Arial"/>
      <w:b w:val="1"/>
      <w:lang w:val="en-GB"/>
    </w:rPr>
  </w:style>
  <w:style w:type="paragraph" w:styleId="FootnoteText">
    <w:name w:val="footnote text"/>
    <w:basedOn w:val="Normal"/>
    <w:semiHidden w:val="1"/>
    <w:rsid w:val="001951FE"/>
    <w:rPr>
      <w:sz w:val="20"/>
    </w:rPr>
  </w:style>
  <w:style w:type="character" w:styleId="FootnoteReference">
    <w:name w:val="footnote reference"/>
    <w:semiHidden w:val="1"/>
    <w:rsid w:val="001951FE"/>
    <w:rPr>
      <w:vertAlign w:val="superscript"/>
    </w:rPr>
  </w:style>
  <w:style w:type="character" w:styleId="FooterChar" w:customStyle="1">
    <w:name w:val="Footer Char"/>
    <w:link w:val="Footer"/>
    <w:rsid w:val="007727F3"/>
    <w:rPr>
      <w:snapToGrid w:val="0"/>
      <w:sz w:val="24"/>
      <w:lang w:eastAsia="en-US" w:val="en-US"/>
    </w:rPr>
  </w:style>
  <w:style w:type="paragraph" w:styleId="BalloonText">
    <w:name w:val="Balloon Text"/>
    <w:basedOn w:val="Normal"/>
    <w:link w:val="BalloonTextChar"/>
    <w:rsid w:val="00D240C3"/>
    <w:pPr>
      <w:spacing w:after="0" w:before="0"/>
    </w:pPr>
    <w:rPr>
      <w:rFonts w:ascii="Tahoma" w:cs="Tahoma" w:hAnsi="Tahoma"/>
      <w:sz w:val="16"/>
      <w:szCs w:val="16"/>
    </w:rPr>
  </w:style>
  <w:style w:type="character" w:styleId="BalloonTextChar" w:customStyle="1">
    <w:name w:val="Balloon Text Char"/>
    <w:link w:val="BalloonText"/>
    <w:rsid w:val="00D240C3"/>
    <w:rPr>
      <w:rFonts w:ascii="Tahoma" w:cs="Tahoma" w:hAnsi="Tahoma"/>
      <w:snapToGrid w:val="0"/>
      <w:sz w:val="16"/>
      <w:szCs w:val="16"/>
      <w:lang w:eastAsia="en-US" w:val="en-US"/>
    </w:rPr>
  </w:style>
  <w:style w:type="paragraph" w:styleId="NormalWeb">
    <w:name w:val="Normal (Web)"/>
    <w:basedOn w:val="Normal"/>
    <w:uiPriority w:val="99"/>
    <w:unhideWhenUsed w:val="1"/>
    <w:rsid w:val="001F5D80"/>
    <w:pPr>
      <w:widowControl w:val="1"/>
      <w:spacing w:afterAutospacing="1" w:beforeAutospacing="1"/>
    </w:pPr>
    <w:rPr>
      <w:snapToGrid w:val="1"/>
      <w:szCs w:val="24"/>
      <w:lang w:eastAsia="en-GB" w:val="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styleId="CommentTextChar" w:customStyle="1">
    <w:name w:val="Comment Text Char"/>
    <w:link w:val="CommentText"/>
    <w:rsid w:val="00BC0714"/>
    <w:rPr>
      <w:snapToGrid w:val="0"/>
      <w:lang w:eastAsia="en-US" w:val="en-US"/>
    </w:rPr>
  </w:style>
  <w:style w:type="paragraph" w:styleId="CommentSubject">
    <w:name w:val="annotation subject"/>
    <w:basedOn w:val="CommentText"/>
    <w:next w:val="CommentText"/>
    <w:link w:val="CommentSubjectChar"/>
    <w:rsid w:val="00BC0714"/>
    <w:rPr>
      <w:b w:val="1"/>
      <w:bCs w:val="1"/>
    </w:rPr>
  </w:style>
  <w:style w:type="character" w:styleId="CommentSubjectChar" w:customStyle="1">
    <w:name w:val="Comment Subject Char"/>
    <w:link w:val="CommentSubject"/>
    <w:rsid w:val="00BC0714"/>
    <w:rPr>
      <w:b w:val="1"/>
      <w:bCs w:val="1"/>
      <w:snapToGrid w:val="0"/>
      <w:lang w:eastAsia="en-US" w:val="en-US"/>
    </w:rPr>
  </w:style>
  <w:style w:type="character" w:styleId="FunoteChar" w:customStyle="1">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cs="Times New Roman" w:eastAsia="Times New Roman" w:hAnsi="Times New Roman"/>
    </w:rPr>
  </w:style>
  <w:style w:type="paragraph" w:styleId="PRAGHeading2" w:customStyle="1">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styleId="EndnoteTextChar" w:customStyle="1">
    <w:name w:val="Endnote Text Char"/>
    <w:link w:val="EndnoteText"/>
    <w:rsid w:val="005B3ED3"/>
    <w:rPr>
      <w:snapToGrid w:val="0"/>
      <w:lang w:eastAsia="en-US" w:val="en-US"/>
    </w:rPr>
  </w:style>
  <w:style w:type="paragraph" w:styleId="Subtitle">
    <w:name w:val="Subtitle"/>
    <w:basedOn w:val="Normal"/>
    <w:link w:val="SubtitleChar"/>
    <w:qFormat w:val="1"/>
    <w:rsid w:val="00EF74CF"/>
    <w:pPr>
      <w:widowControl w:val="1"/>
      <w:spacing w:after="120" w:before="120"/>
      <w:jc w:val="center"/>
    </w:pPr>
    <w:rPr>
      <w:rFonts w:ascii="Arial" w:hAnsi="Arial"/>
      <w:b w:val="1"/>
      <w:sz w:val="28"/>
      <w:lang w:val="fr-BE"/>
    </w:rPr>
  </w:style>
  <w:style w:type="character" w:styleId="SubtitleChar" w:customStyle="1">
    <w:name w:val="Subtitle Char"/>
    <w:link w:val="Subtitle"/>
    <w:rsid w:val="00EF74CF"/>
    <w:rPr>
      <w:rFonts w:ascii="Arial" w:hAnsi="Arial"/>
      <w:b w:val="1"/>
      <w:snapToGrid w:val="0"/>
      <w:sz w:val="28"/>
      <w:lang w:eastAsia="en-US"/>
    </w:rPr>
  </w:style>
  <w:style w:type="character" w:styleId="UnresolvedMention">
    <w:name w:val="Unresolved Mention"/>
    <w:uiPriority w:val="99"/>
    <w:semiHidden w:val="1"/>
    <w:unhideWhenUsed w:val="1"/>
    <w:rsid w:val="00A717BD"/>
    <w:rPr>
      <w:color w:val="605e5c"/>
      <w:shd w:color="auto" w:fill="e1dfdd" w:val="clear"/>
    </w:rPr>
  </w:style>
  <w:style w:type="paragraph" w:styleId="Subtitle">
    <w:name w:val="Subtitle"/>
    <w:basedOn w:val="Normal"/>
    <w:next w:val="Normal"/>
    <w:pPr>
      <w:widowControl w:val="1"/>
      <w:spacing w:after="120" w:before="120" w:lineRule="auto"/>
      <w:jc w:val="center"/>
    </w:pPr>
    <w:rPr>
      <w:rFonts w:ascii="Arial" w:cs="Arial" w:eastAsia="Arial" w:hAnsi="Arial"/>
      <w:b w:val="1"/>
      <w:sz w:val="28"/>
      <w:szCs w:val="2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administrator@epoka.edu.al" TargetMode="External"/><Relationship Id="rId8" Type="http://schemas.openxmlformats.org/officeDocument/2006/relationships/hyperlink" Target="http://www.epoka.edu.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0z6nl9tu2wGSIl9ci0kb3plWSNQ==">AMUW2mWFg3GhUbeYnR5pEmSRDM+U9F5rYnz7DdzePzQ5yiewrutl8P9p6Bac9GEg+TV2XkyAL3qgfTXxWknCAi7mZqb7se3xBZY1ylFIZn3e2+wtasFpbCo=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2020-07-13T18:49:00Z</dcterms:created>
  <dc:creator>ramatje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